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80"/>
        <w:jc w:val="center"/>
        <w:rPr/>
      </w:pPr>
      <w:r>
        <w:rPr>
          <w:rFonts w:ascii="Calibri" w:hAnsi="Calibri"/>
          <w:b/>
          <w:color w:val="1B365D"/>
          <w:sz w:val="48"/>
        </w:rPr>
        <w:t>AUKČNÍ VYHLÁŠKA</w:t>
      </w:r>
    </w:p>
    <w:p>
      <w:pPr>
        <w:pStyle w:val="Normal"/>
        <w:spacing w:before="0" w:after="480"/>
        <w:jc w:val="center"/>
        <w:rPr/>
      </w:pPr>
      <w:r>
        <w:rPr>
          <w:rFonts w:ascii="Calibri" w:hAnsi="Calibri"/>
          <w:i/>
          <w:color w:val="666666"/>
          <w:sz w:val="24"/>
        </w:rPr>
        <w:t>o konání elektronické aukce na určení měsíčního nájemného</w:t>
      </w:r>
    </w:p>
    <w:p>
      <w:pPr>
        <w:pStyle w:val="Normal"/>
        <w:keepNext w:val="true"/>
        <w:pBdr>
          <w:bottom w:val="single" w:sz="12" w:space="4" w:color="1B365D"/>
        </w:pBdr>
        <w:spacing w:before="360" w:after="160"/>
        <w:rPr/>
      </w:pPr>
      <w:r>
        <w:rPr>
          <w:rFonts w:ascii="Calibri Light" w:hAnsi="Calibri Light"/>
          <w:b/>
          <w:color w:val="1B365D"/>
          <w:sz w:val="32"/>
        </w:rPr>
        <w:t>1. Identifikace účastníků aukce</w:t>
      </w:r>
    </w:p>
    <w:p>
      <w:pPr>
        <w:pStyle w:val="Normal"/>
        <w:keepNext w:val="true"/>
        <w:spacing w:before="240" w:after="80"/>
        <w:rPr>
          <w:color w:themeColor="text2" w:val="1F497D"/>
        </w:rPr>
      </w:pPr>
      <w:r>
        <w:rPr>
          <w:rFonts w:ascii="Calibri" w:hAnsi="Calibri"/>
          <w:b/>
          <w:color w:themeColor="text2" w:val="1F497D"/>
          <w:sz w:val="26"/>
        </w:rPr>
        <w:t>Vyhlašovatel aukce:</w:t>
      </w:r>
    </w:p>
    <w:p>
      <w:pPr>
        <w:pStyle w:val="Normal"/>
        <w:spacing w:before="0" w:after="120"/>
        <w:rPr>
          <w:rFonts w:ascii="Calibri" w:hAnsi="Calibri"/>
          <w:color w:val="333333"/>
        </w:rPr>
      </w:pPr>
      <w:r>
        <w:rPr>
          <w:rFonts w:ascii="Calibri" w:hAnsi="Calibri"/>
          <w:color w:val="333333"/>
        </w:rPr>
        <w:t>Obec Přibice</w:t>
        <w:br/>
        <w:t>Se sídlem: Přibice 84, 691 24 Přibice</w:t>
        <w:br/>
        <w:t>Zastoupená: starostou obce</w:t>
      </w:r>
    </w:p>
    <w:p>
      <w:pPr>
        <w:pStyle w:val="Normal"/>
        <w:keepNext w:val="true"/>
        <w:spacing w:before="240" w:after="80"/>
        <w:rPr>
          <w:color w:themeColor="text2" w:val="1F497D"/>
        </w:rPr>
      </w:pPr>
      <w:r>
        <w:rPr>
          <w:rFonts w:ascii="Calibri" w:hAnsi="Calibri"/>
          <w:b/>
          <w:color w:themeColor="text2" w:val="1F497D"/>
          <w:sz w:val="26"/>
        </w:rPr>
        <w:t>Provozovatel aukčního portálu:</w:t>
      </w:r>
    </w:p>
    <w:p>
      <w:pPr>
        <w:pStyle w:val="Normal"/>
        <w:spacing w:before="0" w:after="120"/>
        <w:rPr/>
      </w:pPr>
      <w:r>
        <w:rPr>
          <w:rFonts w:ascii="Calibri" w:hAnsi="Calibri"/>
          <w:b/>
          <w:color w:val="333333"/>
        </w:rPr>
        <w:t>AukceSnadno, s.r.o.</w:t>
        <w:br/>
      </w:r>
      <w:r>
        <w:rPr>
          <w:rFonts w:ascii="Calibri" w:hAnsi="Calibri"/>
          <w:color w:val="333333"/>
        </w:rPr>
        <w:t>IČO: 10985093</w:t>
        <w:br/>
        <w:t>Spisová značka: C 123973 vedená u Krajského soudu v Brně</w:t>
        <w:br/>
        <w:t>Se sídlem: Plynárenská 539/8a, Zábrdovice, 602 00 Brno</w:t>
        <w:br/>
        <w:t>Telefon: +420 733 614 680</w:t>
        <w:br/>
        <w:t>E-mail: obchod@aukcesnadno.cz</w:t>
        <w:br/>
        <w:t>ID datové schránky: ejm5cy3</w:t>
        <w:br/>
        <w:t>Kontaktní osoba: Bc. Tomáš Bartoň</w:t>
        <w:br/>
        <w:t>(dále jen jako „provozovatel portálu“)</w:t>
      </w:r>
    </w:p>
    <w:p>
      <w:pPr>
        <w:pStyle w:val="Normal"/>
        <w:keepNext w:val="true"/>
        <w:pBdr>
          <w:bottom w:val="single" w:sz="12" w:space="4" w:color="1B365D"/>
        </w:pBdr>
        <w:spacing w:before="360" w:after="160"/>
        <w:rPr/>
      </w:pPr>
      <w:r>
        <w:rPr>
          <w:rFonts w:ascii="Calibri Light" w:hAnsi="Calibri Light"/>
          <w:b/>
          <w:color w:val="1B365D"/>
          <w:sz w:val="32"/>
        </w:rPr>
        <w:t>2. Předmět aukce: měsíční nájemné bytové jednotky</w:t>
      </w:r>
    </w:p>
    <w:p>
      <w:pPr>
        <w:pStyle w:val="Normal"/>
        <w:spacing w:before="0" w:after="120"/>
        <w:rPr>
          <w:rFonts w:ascii="Calibri" w:hAnsi="Calibri"/>
          <w:bCs/>
          <w:color w:val="333333"/>
        </w:rPr>
      </w:pPr>
      <w:r>
        <w:rPr>
          <w:rFonts w:ascii="Calibri" w:hAnsi="Calibri"/>
          <w:b/>
          <w:color w:val="333333"/>
        </w:rPr>
        <w:t xml:space="preserve">Předmět souztěže: </w:t>
      </w:r>
      <w:r>
        <w:rPr>
          <w:rFonts w:ascii="Calibri" w:hAnsi="Calibri"/>
          <w:bCs/>
          <w:color w:val="333333"/>
        </w:rPr>
        <w:t>právo na uzavření nájemní smlouvy k bytové jednotce a určení výše měsíčního nájemného.</w:t>
      </w:r>
    </w:p>
    <w:p>
      <w:pPr>
        <w:pStyle w:val="Normal"/>
        <w:spacing w:before="0" w:after="120"/>
        <w:rPr>
          <w:b/>
          <w:bCs/>
        </w:rPr>
      </w:pPr>
      <w:r>
        <w:rPr>
          <w:b/>
          <w:bCs/>
        </w:rPr>
        <w:t>Daňové a energetické podmínky:</w:t>
      </w:r>
    </w:p>
    <w:p>
      <w:pPr>
        <w:pStyle w:val="Normal"/>
        <w:spacing w:before="0" w:after="120"/>
        <w:rPr/>
      </w:pPr>
      <w:r>
        <w:rPr/>
        <w:t>1. Výsledná vysoutěžená cena měsíčního nájemného je uvedena včetně DPH</w:t>
      </w:r>
    </w:p>
    <w:p>
      <w:pPr>
        <w:pStyle w:val="Normal"/>
        <w:spacing w:before="0" w:after="120"/>
        <w:rPr/>
      </w:pPr>
      <w:r>
        <w:rPr/>
        <w:t>2. Výherce aukce (nájemce) je povinen nad rámec vysoutěženého nájemného hradit samostatně veškeré náklady na energie a služby spojené s užíváním bytové jednotky (zejména dodávku elektřiny, plynu, vodné a stočné, vytápění atd.). Tyto zálohy budou detailně specifikovány v nájemní smlouvě.</w:t>
      </w:r>
    </w:p>
    <w:p>
      <w:pPr>
        <w:pStyle w:val="Normal"/>
        <w:spacing w:before="0" w:after="120"/>
        <w:rPr/>
      </w:pPr>
      <w:r>
        <w:rPr/>
      </w:r>
    </w:p>
    <w:p>
      <w:pPr>
        <w:pStyle w:val="Normal"/>
        <w:keepNext w:val="true"/>
        <w:pBdr>
          <w:bottom w:val="single" w:sz="12" w:space="4" w:color="1B365D"/>
        </w:pBdr>
        <w:spacing w:before="360" w:after="160"/>
        <w:rPr/>
      </w:pPr>
      <w:r>
        <w:rPr>
          <w:rFonts w:ascii="Calibri Light" w:hAnsi="Calibri Light"/>
          <w:b/>
          <w:color w:val="1B365D"/>
          <w:sz w:val="32"/>
        </w:rPr>
        <w:t>3. Finanční podmínky a harmonogram aukce</w:t>
      </w:r>
    </w:p>
    <w:tbl>
      <w:tblPr>
        <w:tblStyle w:val="Svtlstnovnzvraznn1"/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80"/>
        <w:gridCol w:w="467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8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Normal"/>
              <w:widowControl/>
              <w:spacing w:lineRule="auto" w:line="276" w:before="60" w:after="60"/>
              <w:jc w:val="left"/>
              <w:rPr>
                <w:rFonts w:ascii="Cambria" w:hAnsi="Cambria" w:eastAsia="ＭＳ 明朝" w:cs=""/>
                <w:b/>
                <w:bCs/>
                <w:color w:themeColor="accent1" w:themeShade="bf" w:val="365F9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bCs/>
                <w:color w:val="1B365D"/>
                <w:kern w:val="0"/>
                <w:sz w:val="22"/>
                <w:szCs w:val="22"/>
                <w:lang w:val="en-US" w:eastAsia="en-US" w:bidi="ar-SA"/>
              </w:rPr>
              <w:t>Datum konání aukce:</w:t>
            </w:r>
          </w:p>
        </w:tc>
        <w:tc>
          <w:tcPr>
            <w:tcW w:w="4679" w:type="dxa"/>
            <w:tcBorders/>
          </w:tcPr>
          <w:p>
            <w:pPr>
              <w:pStyle w:val="Normal"/>
              <w:widowControl/>
              <w:spacing w:lineRule="auto" w:line="276" w:before="60" w:after="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eastAsia="ＭＳ 明朝" w:cs=""/>
                <w:b/>
                <w:bCs/>
                <w:color w:themeColor="accent1" w:themeShade="bf" w:val="365F9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 w:val="false"/>
                <w:bCs/>
                <w:color w:val="333333"/>
                <w:kern w:val="0"/>
                <w:sz w:val="22"/>
                <w:szCs w:val="22"/>
                <w:lang w:val="en-US" w:eastAsia="en-US" w:bidi="ar-SA"/>
              </w:rPr>
              <w:t>29. 6. 2026 v 19:00 hod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8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  <w:shd w:color="auto" w:fill="D3DFEE" w:themeFill="accent1" w:themeFillTint="3f" w:val="clear"/>
          </w:tcPr>
          <w:p>
            <w:pPr>
              <w:pStyle w:val="Normal"/>
              <w:widowControl/>
              <w:spacing w:lineRule="auto" w:line="276" w:before="60" w:after="60"/>
              <w:jc w:val="left"/>
              <w:rPr>
                <w:rFonts w:ascii="Cambria" w:hAnsi="Cambria" w:eastAsia="ＭＳ 明朝" w:cs=""/>
                <w:b/>
                <w:bCs/>
                <w:color w:themeColor="accent1" w:themeShade="bf" w:val="365F9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bCs/>
                <w:color w:val="1B365D"/>
                <w:kern w:val="0"/>
                <w:sz w:val="22"/>
                <w:szCs w:val="22"/>
                <w:lang w:val="en-US" w:eastAsia="en-US" w:bidi="ar-SA"/>
              </w:rPr>
              <w:t>Předpokládaný čas ukončení:</w:t>
            </w:r>
          </w:p>
        </w:tc>
        <w:tc>
          <w:tcPr>
            <w:tcW w:w="4679" w:type="dxa"/>
            <w:tcBorders>
              <w:top w:val="nil"/>
              <w:bottom w:val="nil"/>
            </w:tcBorders>
            <w:shd w:color="auto" w:fill="D3DFEE" w:themeFill="accent1" w:themeFillTint="3f" w:val="clear"/>
          </w:tcPr>
          <w:p>
            <w:pPr>
              <w:pStyle w:val="Normal"/>
              <w:widowControl/>
              <w:spacing w:lineRule="auto" w:line="276"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eastAsia="ＭＳ 明朝" w:cs=""/>
                <w:color w:themeColor="accent1" w:themeShade="bf" w:val="365F9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color w:val="333333"/>
                <w:kern w:val="0"/>
                <w:sz w:val="22"/>
                <w:szCs w:val="22"/>
                <w:lang w:val="en-US" w:eastAsia="en-US" w:bidi="ar-SA"/>
              </w:rPr>
              <w:t>29. 6. 2026 v 19:</w:t>
            </w:r>
            <w:r>
              <w:rPr>
                <w:rFonts w:eastAsia="ＭＳ 明朝" w:cs="" w:ascii="Calibri" w:hAnsi="Calibri"/>
                <w:color w:val="333333"/>
                <w:kern w:val="0"/>
                <w:sz w:val="22"/>
                <w:szCs w:val="22"/>
                <w:lang w:val="en-US" w:eastAsia="en-US" w:bidi="ar-SA"/>
              </w:rPr>
              <w:t>3</w:t>
            </w:r>
            <w:r>
              <w:rPr>
                <w:rFonts w:eastAsia="ＭＳ 明朝" w:cs="" w:ascii="Calibri" w:hAnsi="Calibri"/>
                <w:color w:val="333333"/>
                <w:kern w:val="0"/>
                <w:sz w:val="22"/>
                <w:szCs w:val="22"/>
                <w:lang w:val="en-US" w:eastAsia="en-US" w:bidi="ar-SA"/>
              </w:rPr>
              <w:t>0 hod (plovoucí konec)</w:t>
            </w:r>
          </w:p>
        </w:tc>
      </w:tr>
      <w:tr>
        <w:trPr/>
        <w:tc>
          <w:tcPr>
            <w:tcW w:w="468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60" w:after="60"/>
              <w:jc w:val="left"/>
              <w:rPr>
                <w:rFonts w:ascii="Cambria" w:hAnsi="Cambria" w:eastAsia="ＭＳ 明朝" w:cs=""/>
                <w:b/>
                <w:bCs/>
                <w:color w:themeColor="accent1" w:themeShade="bf" w:val="365F9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bCs/>
                <w:color w:val="1B365D"/>
                <w:kern w:val="0"/>
                <w:sz w:val="22"/>
                <w:szCs w:val="22"/>
                <w:lang w:val="en-US" w:eastAsia="en-US" w:bidi="ar-SA"/>
              </w:rPr>
              <w:t>Vyvolávací cena:</w:t>
            </w:r>
          </w:p>
        </w:tc>
        <w:tc>
          <w:tcPr>
            <w:tcW w:w="4679" w:type="dxa"/>
            <w:tcBorders>
              <w:top w:val="nil"/>
              <w:bottom w:val="nil"/>
            </w:tcBorders>
          </w:tcPr>
          <w:p>
            <w:pPr>
              <w:pStyle w:val="Normal"/>
              <w:widowControl/>
              <w:spacing w:lineRule="auto" w:line="276"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eastAsia="ＭＳ 明朝" w:cs=""/>
                <w:color w:themeColor="accent1" w:themeShade="bf" w:val="365F9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color w:val="333333"/>
                <w:kern w:val="0"/>
                <w:sz w:val="22"/>
                <w:szCs w:val="22"/>
                <w:lang w:val="en-US" w:eastAsia="en-US" w:bidi="ar-SA"/>
              </w:rPr>
              <w:t>15.000,- Kč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68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</w:tcBorders>
            <w:shd w:color="auto" w:fill="D3DFEE" w:themeFill="accent1" w:themeFillTint="3f" w:val="clear"/>
          </w:tcPr>
          <w:p>
            <w:pPr>
              <w:pStyle w:val="Normal"/>
              <w:widowControl/>
              <w:spacing w:lineRule="auto" w:line="276" w:before="60" w:after="60"/>
              <w:jc w:val="left"/>
              <w:rPr>
                <w:rFonts w:ascii="Cambria" w:hAnsi="Cambria" w:eastAsia="ＭＳ 明朝" w:cs=""/>
                <w:b/>
                <w:bCs/>
                <w:color w:themeColor="accent1" w:themeShade="bf" w:val="365F9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bCs/>
                <w:color w:val="1B365D"/>
                <w:kern w:val="0"/>
                <w:sz w:val="22"/>
                <w:szCs w:val="22"/>
                <w:lang w:val="en-US" w:eastAsia="en-US" w:bidi="ar-SA"/>
              </w:rPr>
              <w:t>Minimální příhoz:</w:t>
            </w:r>
          </w:p>
        </w:tc>
        <w:tc>
          <w:tcPr>
            <w:tcW w:w="4679" w:type="dxa"/>
            <w:tcBorders>
              <w:top w:val="nil"/>
              <w:bottom w:val="nil"/>
            </w:tcBorders>
            <w:shd w:color="auto" w:fill="D3DFEE" w:themeFill="accent1" w:themeFillTint="3f" w:val="clear"/>
          </w:tcPr>
          <w:p>
            <w:pPr>
              <w:pStyle w:val="Normal"/>
              <w:widowControl/>
              <w:spacing w:lineRule="auto" w:line="276"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eastAsia="ＭＳ 明朝" w:cs=""/>
                <w:color w:themeColor="accent1" w:themeShade="bf" w:val="365F9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color w:val="333333"/>
                <w:kern w:val="0"/>
                <w:sz w:val="22"/>
                <w:szCs w:val="22"/>
                <w:lang w:val="en-US" w:eastAsia="en-US" w:bidi="ar-SA"/>
              </w:rPr>
              <w:t>100,- Kč</w:t>
            </w:r>
          </w:p>
        </w:tc>
      </w:tr>
      <w:tr>
        <w:trPr/>
        <w:tc>
          <w:tcPr>
            <w:tcW w:w="468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</w:tcPr>
          <w:p>
            <w:pPr>
              <w:pStyle w:val="Normal"/>
              <w:widowControl/>
              <w:spacing w:lineRule="auto" w:line="276" w:before="60" w:after="60"/>
              <w:jc w:val="left"/>
              <w:rPr>
                <w:rFonts w:ascii="Cambria" w:hAnsi="Cambria" w:eastAsia="ＭＳ 明朝" w:cs=""/>
                <w:b/>
                <w:bCs/>
                <w:color w:themeColor="accent1" w:themeShade="bf" w:val="365F9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bCs/>
                <w:color w:val="1B365D"/>
                <w:kern w:val="0"/>
                <w:sz w:val="22"/>
                <w:szCs w:val="22"/>
                <w:lang w:val="en-US" w:eastAsia="en-US" w:bidi="ar-SA"/>
              </w:rPr>
              <w:t>Maximální příhoz:</w:t>
            </w:r>
          </w:p>
        </w:tc>
        <w:tc>
          <w:tcPr>
            <w:tcW w:w="4679" w:type="dxa"/>
            <w:tcBorders>
              <w:top w:val="nil"/>
            </w:tcBorders>
          </w:tcPr>
          <w:p>
            <w:pPr>
              <w:pStyle w:val="Normal"/>
              <w:widowControl/>
              <w:spacing w:lineRule="auto" w:line="276"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eastAsia="ＭＳ 明朝" w:cs=""/>
                <w:color w:themeColor="accent1" w:themeShade="bf" w:val="365F91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eastAsia="ＭＳ 明朝" w:cs="" w:ascii="Calibri" w:hAnsi="Calibri"/>
                <w:b/>
                <w:color w:val="333333"/>
                <w:kern w:val="0"/>
                <w:sz w:val="22"/>
                <w:szCs w:val="22"/>
                <w:lang w:val="en-US" w:eastAsia="en-US" w:bidi="ar-SA"/>
              </w:rPr>
              <w:t>1.000,- Kč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keepNext w:val="true"/>
        <w:pBdr>
          <w:bottom w:val="single" w:sz="12" w:space="4" w:color="1B365D"/>
        </w:pBdr>
        <w:spacing w:before="360" w:after="160"/>
        <w:rPr/>
      </w:pPr>
      <w:r>
        <w:rPr>
          <w:rFonts w:ascii="Calibri Light" w:hAnsi="Calibri Light"/>
          <w:b/>
          <w:color w:val="1B365D"/>
          <w:sz w:val="32"/>
        </w:rPr>
        <w:t>4. Prohlídka nemovitosti</w:t>
      </w:r>
    </w:p>
    <w:p>
      <w:pPr>
        <w:pStyle w:val="Normal"/>
        <w:spacing w:before="0" w:after="120"/>
        <w:rPr/>
      </w:pPr>
      <w:r>
        <w:rPr>
          <w:rFonts w:ascii="Calibri" w:hAnsi="Calibri"/>
          <w:color w:val="333333"/>
        </w:rPr>
        <w:t>1) pondělí 15. 6. 2026 v 9:00 hodin</w:t>
      </w:r>
    </w:p>
    <w:p>
      <w:pPr>
        <w:pStyle w:val="Normal"/>
        <w:spacing w:before="0" w:after="120"/>
        <w:rPr/>
      </w:pPr>
      <w:r>
        <w:rPr>
          <w:rFonts w:ascii="Calibri" w:hAnsi="Calibri"/>
          <w:color w:val="333333"/>
        </w:rPr>
        <w:t>2) středa 24. 6. 2026 v 16:00 hodin</w:t>
      </w:r>
    </w:p>
    <w:p>
      <w:pPr>
        <w:pStyle w:val="Normal"/>
        <w:spacing w:before="0" w:after="120"/>
        <w:rPr/>
      </w:pPr>
      <w:r>
        <w:rPr>
          <w:rFonts w:ascii="Calibri" w:hAnsi="Calibri"/>
          <w:color w:val="333333"/>
        </w:rPr>
        <w:t>případně dle dohody s vedením obce.</w:t>
      </w:r>
    </w:p>
    <w:p>
      <w:pPr>
        <w:pStyle w:val="Normal"/>
        <w:keepNext w:val="true"/>
        <w:pBdr>
          <w:bottom w:val="single" w:sz="12" w:space="4" w:color="1B365D"/>
        </w:pBdr>
        <w:spacing w:before="360" w:after="160"/>
        <w:rPr/>
      </w:pPr>
      <w:r>
        <w:rPr>
          <w:rFonts w:ascii="Calibri Light" w:hAnsi="Calibri Light"/>
          <w:b/>
          <w:color w:val="1B365D"/>
          <w:sz w:val="32"/>
        </w:rPr>
        <w:t>5. Přihlášení do aukce a aukční jistota</w:t>
      </w:r>
    </w:p>
    <w:p>
      <w:pPr>
        <w:pStyle w:val="Normal"/>
        <w:keepNext w:val="true"/>
        <w:spacing w:before="240" w:after="80"/>
        <w:rPr>
          <w:color w:themeColor="text2" w:val="1F497D"/>
        </w:rPr>
      </w:pPr>
      <w:r>
        <w:rPr>
          <w:rFonts w:ascii="Calibri" w:hAnsi="Calibri"/>
          <w:b/>
          <w:color w:themeColor="text2" w:val="1F497D"/>
          <w:sz w:val="26"/>
        </w:rPr>
        <w:t>Registrace účastníků:</w:t>
      </w:r>
    </w:p>
    <w:p>
      <w:pPr>
        <w:pStyle w:val="Normal"/>
        <w:spacing w:before="0" w:after="120"/>
        <w:rPr/>
      </w:pPr>
      <w:r>
        <w:rPr>
          <w:rFonts w:ascii="Calibri" w:hAnsi="Calibri"/>
          <w:color w:val="333333"/>
        </w:rPr>
        <w:t>Zájemce o účast v aukci je povinen nejpozději do 2</w:t>
      </w:r>
      <w:r>
        <w:rPr>
          <w:rFonts w:ascii="Calibri" w:hAnsi="Calibri"/>
          <w:color w:val="333333"/>
        </w:rPr>
        <w:t>5</w:t>
      </w:r>
      <w:r>
        <w:rPr>
          <w:rFonts w:ascii="Calibri" w:hAnsi="Calibri"/>
          <w:color w:val="333333"/>
        </w:rPr>
        <w:t>. 6. 2026 do 1</w:t>
      </w:r>
      <w:r>
        <w:rPr>
          <w:rFonts w:ascii="Calibri" w:hAnsi="Calibri"/>
          <w:color w:val="333333"/>
        </w:rPr>
        <w:t>1</w:t>
      </w:r>
      <w:r>
        <w:rPr>
          <w:rFonts w:ascii="Calibri" w:hAnsi="Calibri"/>
          <w:color w:val="333333"/>
        </w:rPr>
        <w:t xml:space="preserve">:00 hod provést </w:t>
      </w:r>
      <w:r>
        <w:rPr>
          <w:rFonts w:ascii="Calibri" w:hAnsi="Calibri"/>
          <w:color w:val="333333"/>
        </w:rPr>
        <w:t xml:space="preserve">osobně </w:t>
      </w:r>
      <w:r>
        <w:rPr>
          <w:rFonts w:ascii="Calibri" w:hAnsi="Calibri"/>
          <w:color w:val="333333"/>
        </w:rPr>
        <w:t>registraci na Obecním úřadě obce Přibice. Registrace zahrnuje ověření totožnosti zájemce a kontrolu splnění podmínek pro složení aukční jistoty.</w:t>
      </w:r>
    </w:p>
    <w:p>
      <w:pPr>
        <w:pStyle w:val="Normal"/>
        <w:keepNext w:val="true"/>
        <w:spacing w:before="240" w:after="80"/>
        <w:rPr>
          <w:color w:themeColor="text2" w:val="1F497D"/>
        </w:rPr>
      </w:pPr>
      <w:r>
        <w:rPr>
          <w:rFonts w:ascii="Calibri" w:hAnsi="Calibri"/>
          <w:b/>
          <w:color w:themeColor="text2" w:val="1F497D"/>
          <w:sz w:val="26"/>
        </w:rPr>
        <w:t>Složení aukční jistoty:</w:t>
      </w:r>
    </w:p>
    <w:p>
      <w:pPr>
        <w:pStyle w:val="Normal"/>
        <w:spacing w:before="0" w:after="120"/>
        <w:rPr/>
      </w:pPr>
      <w:r>
        <w:rPr>
          <w:rFonts w:ascii="Calibri" w:hAnsi="Calibri"/>
          <w:b/>
          <w:color w:val="333333"/>
        </w:rPr>
        <w:t xml:space="preserve">Výše aukční jistoty: </w:t>
      </w:r>
      <w:r>
        <w:rPr>
          <w:rFonts w:ascii="Calibri" w:hAnsi="Calibri"/>
          <w:color w:val="333333"/>
        </w:rPr>
        <w:t>2.000,- Kč</w:t>
      </w:r>
    </w:p>
    <w:p>
      <w:pPr>
        <w:pStyle w:val="Normal"/>
        <w:spacing w:before="0" w:after="120"/>
        <w:rPr>
          <w:rFonts w:ascii="Calibri" w:hAnsi="Calibri"/>
          <w:b/>
          <w:color w:val="333333"/>
          <w:lang w:val="cs-CZ"/>
        </w:rPr>
      </w:pPr>
      <w:r>
        <w:rPr>
          <w:rFonts w:ascii="Calibri" w:hAnsi="Calibri"/>
          <w:b/>
          <w:color w:val="333333"/>
        </w:rPr>
        <w:t xml:space="preserve">Číslo účtu: </w:t>
      </w:r>
      <w:r>
        <w:rPr>
          <w:rFonts w:ascii="Calibri" w:hAnsi="Calibri"/>
          <w:b/>
          <w:color w:val="333333"/>
          <w:lang w:val="cs-CZ"/>
        </w:rPr>
        <w:t>2302151639/2010</w:t>
      </w:r>
    </w:p>
    <w:p>
      <w:pPr>
        <w:pStyle w:val="Normal"/>
        <w:keepNext w:val="true"/>
        <w:spacing w:before="240" w:after="80"/>
        <w:rPr>
          <w:color w:themeColor="text2" w:val="1F497D"/>
        </w:rPr>
      </w:pPr>
      <w:r>
        <w:rPr>
          <w:rFonts w:ascii="Calibri" w:hAnsi="Calibri"/>
          <w:b/>
          <w:color w:themeColor="text2" w:val="1F497D"/>
          <w:sz w:val="26"/>
        </w:rPr>
        <w:t>Vracení aukční jistoty:</w:t>
      </w:r>
    </w:p>
    <w:p>
      <w:pPr>
        <w:pStyle w:val="Normal"/>
        <w:spacing w:before="0" w:after="120"/>
        <w:rPr/>
      </w:pPr>
      <w:r>
        <w:rPr>
          <w:rFonts w:ascii="Calibri" w:hAnsi="Calibri"/>
          <w:color w:val="333333"/>
        </w:rPr>
        <w:t>Neúspěšným účastníkům aukce bude složená aukční jistota vrácena zpět na jejich bankovní účet do 5 pracovních dní od oficiálního ukončení aukce.</w:t>
      </w:r>
    </w:p>
    <w:p>
      <w:pPr>
        <w:pStyle w:val="Normal"/>
        <w:keepNext w:val="true"/>
        <w:pBdr>
          <w:bottom w:val="single" w:sz="12" w:space="4" w:color="1B365D"/>
        </w:pBdr>
        <w:spacing w:before="360" w:after="160"/>
        <w:rPr/>
      </w:pPr>
      <w:r>
        <w:rPr>
          <w:rFonts w:ascii="Calibri Light" w:hAnsi="Calibri Light"/>
          <w:b/>
          <w:color w:val="1B365D"/>
          <w:sz w:val="32"/>
        </w:rPr>
        <w:t>6. Další podmínky a výhrady vyhlašovatele</w:t>
      </w:r>
    </w:p>
    <w:p>
      <w:pPr>
        <w:pStyle w:val="Normal"/>
        <w:spacing w:before="0" w:after="120"/>
        <w:rPr/>
      </w:pPr>
      <w:r>
        <w:rPr>
          <w:rFonts w:ascii="Calibri" w:hAnsi="Calibri"/>
          <w:color w:val="333333"/>
        </w:rPr>
        <w:t>1. Obec Přibice si jako vyhlašovatel plně vyhrazuje právo všechny předložené nabídky i bez udání důvodu odmítnout, případně aukci v plném rozsahu zrušit nebo opakovat. Samotné uzavření nájemní smlouvy nemovité věci výherci aukce podléhá schválení ze strany vedení obce Přibice.</w:t>
      </w:r>
    </w:p>
    <w:p>
      <w:pPr>
        <w:pStyle w:val="Normal"/>
        <w:spacing w:before="0" w:after="120"/>
        <w:rPr/>
      </w:pPr>
      <w:r>
        <w:rPr>
          <w:rFonts w:ascii="Calibri" w:hAnsi="Calibri"/>
          <w:color w:val="333333"/>
        </w:rPr>
        <w:t>2. Výherci aukce nevzniká automatický nárok na uzavření nájemní smlouvy před tímto schválením.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Calibri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 Light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ZhlavChar" w:customStyle="1">
    <w:name w:val="Záhlaví Char"/>
    <w:basedOn w:val="DefaultParagraphFont"/>
    <w:link w:val="Header"/>
    <w:uiPriority w:val="99"/>
    <w:qFormat/>
    <w:rsid w:val="00e618bf"/>
    <w:rPr/>
  </w:style>
  <w:style w:type="character" w:styleId="ZpatChar" w:customStyle="1">
    <w:name w:val="Zápatí Char"/>
    <w:basedOn w:val="DefaultParagraphFont"/>
    <w:link w:val="Footer"/>
    <w:uiPriority w:val="99"/>
    <w:qFormat/>
    <w:rsid w:val="00e618bf"/>
    <w:rPr/>
  </w:style>
  <w:style w:type="character" w:styleId="Nadpis1Char" w:customStyle="1">
    <w:name w:val="Nadpis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Nadpis2Char" w:customStyle="1">
    <w:name w:val="Nadpis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Nadpis3Char" w:customStyle="1">
    <w:name w:val="Nadpis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NzevChar" w:customStyle="1">
    <w:name w:val="Název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PodnadpisChar" w:customStyle="1">
    <w:name w:val="Podnadpis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ZkladntextChar" w:customStyle="1">
    <w:name w:val="Základní text Char"/>
    <w:basedOn w:val="DefaultParagraphFont"/>
    <w:uiPriority w:val="99"/>
    <w:qFormat/>
    <w:rsid w:val="00aa1d8d"/>
    <w:rPr/>
  </w:style>
  <w:style w:type="character" w:styleId="Zkladntext2Char" w:customStyle="1">
    <w:name w:val="Základní text 2 Char"/>
    <w:basedOn w:val="DefaultParagraphFont"/>
    <w:link w:val="BodyText2"/>
    <w:uiPriority w:val="99"/>
    <w:qFormat/>
    <w:rsid w:val="00aa1d8d"/>
    <w:rPr/>
  </w:style>
  <w:style w:type="character" w:styleId="Zkladntext3Char" w:customStyle="1">
    <w:name w:val="Základní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xtmakraChar" w:customStyle="1">
    <w:name w:val="Text makra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CittChar" w:customStyle="1">
    <w:name w:val="Citát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Nadpis4Char" w:customStyle="1">
    <w:name w:val="Nadpis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Nadpis5Char" w:customStyle="1">
    <w:name w:val="Nadpis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Nadpis6Char" w:customStyle="1">
    <w:name w:val="Nadpis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Nadpis7Char" w:customStyle="1">
    <w:name w:val="Nadpis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Nadpis8Char" w:customStyle="1">
    <w:name w:val="Nadpis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Nadpis9Char" w:customStyle="1">
    <w:name w:val="Nadpis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Zkladn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Nzev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Podnadpis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/>
      <w:contextualSpacing/>
    </w:pPr>
    <w:rPr/>
  </w:style>
  <w:style w:type="paragraph" w:styleId="BodyText2">
    <w:name w:val="Body Text 2"/>
    <w:basedOn w:val="Normal"/>
    <w:link w:val="Zkladn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Zkladn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lef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lef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lef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lef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left="1080"/>
      <w:contextualSpacing/>
    </w:pPr>
    <w:rPr/>
  </w:style>
  <w:style w:type="paragraph" w:styleId="macro">
    <w:name w:val="macro"/>
    <w:link w:val="Textmakra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itt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LibreOffice/24.2.7.2$Linux_X86_64 LibreOffice_project/420$Build-2</Application>
  <AppVersion>15.0000</AppVersion>
  <Pages>3</Pages>
  <Words>352</Words>
  <Characters>2066</Characters>
  <CharactersWithSpaces>2380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2026-06-07T08:31:00Z</dcterms:created>
  <dc:creator>python-docx</dc:creator>
  <dc:description>generated by python-docx</dc:description>
  <dc:language>en-US</dc:language>
  <cp:lastModifiedBy/>
  <dcterms:modified xsi:type="dcterms:W3CDTF">2026-06-15T20:32:54Z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